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35706987"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#119e</w:t>
      </w:r>
      <w:r>
        <w:rPr>
          <w:b/>
          <w:i/>
          <w:noProof/>
          <w:sz w:val="28"/>
        </w:rPr>
        <w:tab/>
        <w:t xml:space="preserve"> </w:t>
      </w:r>
      <w:r w:rsidRPr="00633549">
        <w:rPr>
          <w:b/>
          <w:noProof/>
          <w:sz w:val="28"/>
        </w:rPr>
        <w:t xml:space="preserve">Tdoc </w:t>
      </w:r>
      <w:r w:rsidRPr="00DC2CA2">
        <w:rPr>
          <w:b/>
          <w:noProof/>
          <w:sz w:val="28"/>
        </w:rPr>
        <w:t>R2-</w:t>
      </w:r>
      <w:r>
        <w:rPr>
          <w:b/>
          <w:noProof/>
          <w:sz w:val="28"/>
        </w:rPr>
        <w:t>22</w:t>
      </w:r>
      <w:r w:rsidR="006162F2">
        <w:rPr>
          <w:b/>
          <w:noProof/>
          <w:sz w:val="28"/>
        </w:rPr>
        <w:t>0730</w:t>
      </w:r>
      <w:r w:rsidR="001D52DF">
        <w:rPr>
          <w:b/>
          <w:noProof/>
          <w:sz w:val="28"/>
        </w:rPr>
        <w:t>1</w:t>
      </w:r>
    </w:p>
    <w:p w14:paraId="533922E5" w14:textId="77777777" w:rsidR="00B02DC2" w:rsidRDefault="00B02DC2" w:rsidP="00B02DC2">
      <w:pPr>
        <w:pStyle w:val="CRCoverPage"/>
        <w:rPr>
          <w:b/>
          <w:noProof/>
          <w:sz w:val="24"/>
        </w:rPr>
      </w:pPr>
      <w:r>
        <w:rPr>
          <w:b/>
          <w:sz w:val="24"/>
          <w:szCs w:val="24"/>
        </w:rPr>
        <w:t>Online, 15</w:t>
      </w:r>
      <w:r w:rsidRPr="00AD09EF">
        <w:rPr>
          <w:b/>
          <w:sz w:val="24"/>
          <w:szCs w:val="24"/>
          <w:vertAlign w:val="superscript"/>
        </w:rPr>
        <w:t>th</w:t>
      </w:r>
      <w:r>
        <w:rPr>
          <w:b/>
          <w:sz w:val="24"/>
          <w:szCs w:val="24"/>
        </w:rPr>
        <w:t xml:space="preserve"> Aug – 26</w:t>
      </w:r>
      <w:r>
        <w:rPr>
          <w:b/>
          <w:sz w:val="24"/>
          <w:szCs w:val="24"/>
          <w:vertAlign w:val="superscript"/>
        </w:rPr>
        <w:t>th</w:t>
      </w:r>
      <w:r>
        <w:rPr>
          <w:b/>
          <w:sz w:val="24"/>
          <w:szCs w:val="24"/>
        </w:rPr>
        <w:t xml:space="preserve"> Aug</w:t>
      </w:r>
      <w:r w:rsidRPr="009E4773">
        <w:rPr>
          <w:b/>
          <w:sz w:val="24"/>
          <w:szCs w:val="24"/>
        </w:rPr>
        <w:t xml:space="preserve"> </w:t>
      </w:r>
      <w:r>
        <w:rPr>
          <w:b/>
          <w:sz w:val="24"/>
          <w:szCs w:val="24"/>
        </w:rPr>
        <w:t>2022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1FC7E83" w14:textId="33F03B56" w:rsidR="00B02DC2" w:rsidRPr="009A6513" w:rsidRDefault="00B02DC2" w:rsidP="00B02DC2">
      <w:pPr>
        <w:pStyle w:val="CRCoverPage"/>
        <w:ind w:left="1988" w:hanging="1988"/>
        <w:rPr>
          <w:b/>
          <w:noProof/>
          <w:sz w:val="24"/>
        </w:rPr>
      </w:pPr>
      <w:r>
        <w:rPr>
          <w:b/>
          <w:noProof/>
          <w:sz w:val="24"/>
        </w:rPr>
        <w:t>Agenda Item:</w:t>
      </w:r>
      <w:r>
        <w:rPr>
          <w:b/>
          <w:noProof/>
          <w:sz w:val="24"/>
        </w:rPr>
        <w:tab/>
        <w:t>8.</w:t>
      </w:r>
      <w:r w:rsidR="00E56FFB">
        <w:rPr>
          <w:b/>
          <w:noProof/>
          <w:sz w:val="24"/>
        </w:rPr>
        <w:t>6</w:t>
      </w:r>
      <w:r>
        <w:rPr>
          <w:b/>
          <w:noProof/>
          <w:sz w:val="24"/>
        </w:rPr>
        <w:t>.</w:t>
      </w:r>
      <w:r w:rsidR="006B28BB">
        <w:rPr>
          <w:b/>
          <w:noProof/>
          <w:sz w:val="24"/>
        </w:rPr>
        <w:t>3</w:t>
      </w:r>
      <w:r w:rsidRPr="00D26A64">
        <w:rPr>
          <w:b/>
          <w:noProof/>
          <w:sz w:val="24"/>
        </w:rPr>
        <w:t xml:space="preserve"> </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312D58A4"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911BD1" w:rsidRPr="00911BD1">
        <w:rPr>
          <w:b/>
          <w:noProof/>
          <w:sz w:val="24"/>
        </w:rPr>
        <w:t>Enhancements to discontinuous coverage in IoT-NTN</w:t>
      </w:r>
    </w:p>
    <w:bookmarkEnd w:id="0"/>
    <w:bookmarkEnd w:id="1"/>
    <w:p w14:paraId="1EB2D31E" w14:textId="77777777"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7459FBD4" w14:textId="58D05501" w:rsidR="00366A57" w:rsidRPr="00467E45" w:rsidRDefault="00B02DC2" w:rsidP="00670B47">
      <w:pPr>
        <w:tabs>
          <w:tab w:val="left" w:pos="1622"/>
        </w:tabs>
        <w:spacing w:after="0"/>
        <w:jc w:val="both"/>
        <w:rPr>
          <w:rFonts w:ascii="Arial" w:hAnsi="Arial" w:cs="Arial"/>
          <w:lang w:eastAsia="en-GB"/>
        </w:rPr>
      </w:pPr>
      <w:r w:rsidRPr="00B02DC2">
        <w:rPr>
          <w:rFonts w:ascii="Arial" w:hAnsi="Arial" w:cs="Arial"/>
          <w:lang w:eastAsia="en-GB"/>
        </w:rPr>
        <w:t xml:space="preserve">Rel-18 enhancements for </w:t>
      </w:r>
      <w:r w:rsidR="00FB5899">
        <w:rPr>
          <w:rFonts w:ascii="Arial" w:hAnsi="Arial" w:cs="Arial"/>
          <w:lang w:eastAsia="en-GB"/>
        </w:rPr>
        <w:t>IoT</w:t>
      </w:r>
      <w:r w:rsidRPr="00B02DC2">
        <w:rPr>
          <w:rFonts w:ascii="Arial" w:hAnsi="Arial" w:cs="Arial"/>
          <w:lang w:eastAsia="en-GB"/>
        </w:rPr>
        <w:t xml:space="preserve">-NTN </w:t>
      </w:r>
      <w:r w:rsidR="00450E2E">
        <w:rPr>
          <w:rFonts w:ascii="Arial" w:hAnsi="Arial" w:cs="Arial"/>
          <w:lang w:eastAsia="en-GB"/>
        </w:rPr>
        <w:t xml:space="preserve">Work Item </w:t>
      </w:r>
      <w:r w:rsidRPr="00B02DC2">
        <w:rPr>
          <w:rFonts w:ascii="Arial" w:hAnsi="Arial" w:cs="Arial"/>
          <w:lang w:eastAsia="en-GB"/>
        </w:rPr>
        <w:t>was approved at RAN Plenary #9</w:t>
      </w:r>
      <w:r w:rsidR="00450E2E">
        <w:rPr>
          <w:rFonts w:ascii="Arial" w:hAnsi="Arial" w:cs="Arial"/>
          <w:lang w:eastAsia="en-GB"/>
        </w:rPr>
        <w:t>6</w:t>
      </w:r>
      <w:r w:rsidRPr="00B02DC2">
        <w:rPr>
          <w:rFonts w:ascii="Arial" w:hAnsi="Arial" w:cs="Arial"/>
          <w:lang w:eastAsia="en-GB"/>
        </w:rPr>
        <w:t>e</w:t>
      </w:r>
      <w:r w:rsidR="005071DB">
        <w:rPr>
          <w:rFonts w:ascii="Arial" w:hAnsi="Arial" w:cs="Arial"/>
          <w:lang w:eastAsia="en-GB"/>
        </w:rPr>
        <w:t xml:space="preserve"> </w:t>
      </w:r>
      <w:r w:rsidR="005071DB">
        <w:rPr>
          <w:rFonts w:ascii="Arial" w:hAnsi="Arial" w:cs="Arial"/>
          <w:lang w:eastAsia="en-GB"/>
        </w:rPr>
        <w:fldChar w:fldCharType="begin"/>
      </w:r>
      <w:r w:rsidR="005071DB">
        <w:rPr>
          <w:rFonts w:ascii="Arial" w:hAnsi="Arial" w:cs="Arial"/>
          <w:lang w:eastAsia="en-GB"/>
        </w:rPr>
        <w:instrText xml:space="preserve"> REF _Ref109647240 \r \h </w:instrText>
      </w:r>
      <w:r w:rsidR="005071DB">
        <w:rPr>
          <w:rFonts w:ascii="Arial" w:hAnsi="Arial" w:cs="Arial"/>
          <w:lang w:eastAsia="en-GB"/>
        </w:rPr>
      </w:r>
      <w:r w:rsidR="005071DB">
        <w:rPr>
          <w:rFonts w:ascii="Arial" w:hAnsi="Arial" w:cs="Arial"/>
          <w:lang w:eastAsia="en-GB"/>
        </w:rPr>
        <w:fldChar w:fldCharType="separate"/>
      </w:r>
      <w:r w:rsidR="005071DB">
        <w:rPr>
          <w:rFonts w:ascii="Arial" w:hAnsi="Arial" w:cs="Arial"/>
          <w:lang w:eastAsia="en-GB"/>
        </w:rPr>
        <w:t>[1]</w:t>
      </w:r>
      <w:r w:rsidR="005071DB">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001D52DF">
        <w:rPr>
          <w:rFonts w:ascii="Arial" w:hAnsi="Arial" w:cs="Arial"/>
          <w:lang w:eastAsia="en-GB"/>
        </w:rPr>
        <w:t>“</w:t>
      </w:r>
      <w:r w:rsidR="004711E1" w:rsidRPr="004711E1">
        <w:rPr>
          <w:rFonts w:ascii="Arial" w:hAnsi="Arial" w:cs="Arial"/>
          <w:lang w:eastAsia="en-GB"/>
        </w:rPr>
        <w:t>Potential enhancements to Rel-17 IoT-NTN discontinuous coverage, resulting from SA2 study</w:t>
      </w:r>
      <w:r w:rsidR="001D52DF">
        <w:rPr>
          <w:rFonts w:ascii="Arial" w:hAnsi="Arial" w:cs="Arial"/>
          <w:lang w:eastAsia="en-GB"/>
        </w:rPr>
        <w:t>” as one agend</w:t>
      </w:r>
      <w:r w:rsidR="003650BD">
        <w:rPr>
          <w:rFonts w:ascii="Arial" w:hAnsi="Arial" w:cs="Arial"/>
          <w:lang w:eastAsia="en-GB"/>
        </w:rPr>
        <w:t>a</w:t>
      </w:r>
      <w:r w:rsidR="00450E2E">
        <w:rPr>
          <w:rFonts w:ascii="Arial" w:hAnsi="Arial" w:cs="Arial"/>
          <w:lang w:eastAsia="en-GB"/>
        </w:rPr>
        <w:t xml:space="preserve"> </w:t>
      </w:r>
      <w:r w:rsidR="00450E2E">
        <w:rPr>
          <w:rFonts w:ascii="Arial" w:hAnsi="Arial" w:cs="Arial"/>
          <w:lang w:eastAsia="en-GB"/>
        </w:rPr>
        <w:fldChar w:fldCharType="begin"/>
      </w:r>
      <w:r w:rsidR="00450E2E">
        <w:rPr>
          <w:rFonts w:ascii="Arial" w:hAnsi="Arial" w:cs="Arial"/>
          <w:lang w:eastAsia="en-GB"/>
        </w:rPr>
        <w:instrText xml:space="preserve"> REF _Ref109647240 \r \h </w:instrText>
      </w:r>
      <w:r w:rsidR="00450E2E">
        <w:rPr>
          <w:rFonts w:ascii="Arial" w:hAnsi="Arial" w:cs="Arial"/>
          <w:lang w:eastAsia="en-GB"/>
        </w:rPr>
      </w:r>
      <w:r w:rsidR="00450E2E">
        <w:rPr>
          <w:rFonts w:ascii="Arial" w:hAnsi="Arial" w:cs="Arial"/>
          <w:lang w:eastAsia="en-GB"/>
        </w:rPr>
        <w:fldChar w:fldCharType="separate"/>
      </w:r>
      <w:r w:rsidR="00450E2E">
        <w:rPr>
          <w:rFonts w:ascii="Arial" w:hAnsi="Arial" w:cs="Arial"/>
          <w:lang w:eastAsia="en-GB"/>
        </w:rPr>
        <w:t>[1]</w:t>
      </w:r>
      <w:r w:rsidR="00450E2E">
        <w:rPr>
          <w:rFonts w:ascii="Arial" w:hAnsi="Arial" w:cs="Arial"/>
          <w:lang w:eastAsia="en-GB"/>
        </w:rPr>
        <w:fldChar w:fldCharType="end"/>
      </w:r>
      <w:r w:rsidR="00450E2E">
        <w:rPr>
          <w:rFonts w:ascii="Arial" w:hAnsi="Arial" w:cs="Arial"/>
          <w:lang w:eastAsia="en-GB"/>
        </w:rPr>
        <w:t xml:space="preserve">. </w:t>
      </w:r>
      <w:r w:rsidRPr="00B02DC2">
        <w:rPr>
          <w:rFonts w:ascii="Arial" w:hAnsi="Arial" w:cs="Arial"/>
          <w:lang w:eastAsia="en-GB"/>
        </w:rPr>
        <w:t>Previous agreements in Rel-1</w:t>
      </w:r>
      <w:r>
        <w:rPr>
          <w:rFonts w:ascii="Arial" w:hAnsi="Arial" w:cs="Arial"/>
          <w:lang w:eastAsia="en-GB"/>
        </w:rPr>
        <w:t>7</w:t>
      </w:r>
      <w:r w:rsidRPr="00B02DC2">
        <w:rPr>
          <w:rFonts w:ascii="Arial" w:hAnsi="Arial" w:cs="Arial"/>
          <w:lang w:eastAsia="en-GB"/>
        </w:rPr>
        <w:t xml:space="preserve"> NR-NTN </w:t>
      </w:r>
      <w:r>
        <w:rPr>
          <w:rFonts w:ascii="Arial" w:hAnsi="Arial" w:cs="Arial"/>
          <w:lang w:eastAsia="en-GB"/>
        </w:rPr>
        <w:t>Work</w:t>
      </w:r>
      <w:r w:rsidRPr="00B02DC2">
        <w:rPr>
          <w:rFonts w:ascii="Arial" w:hAnsi="Arial" w:cs="Arial"/>
          <w:lang w:eastAsia="en-GB"/>
        </w:rPr>
        <w:t xml:space="preserve"> Item has </w:t>
      </w:r>
      <w:r>
        <w:rPr>
          <w:rFonts w:ascii="Arial" w:hAnsi="Arial" w:cs="Arial"/>
          <w:lang w:eastAsia="en-GB"/>
        </w:rPr>
        <w:t>agreed</w:t>
      </w:r>
      <w:r w:rsidRPr="00B02DC2">
        <w:rPr>
          <w:rFonts w:ascii="Arial" w:hAnsi="Arial" w:cs="Arial"/>
          <w:lang w:eastAsia="en-GB"/>
        </w:rPr>
        <w:t xml:space="preserve"> </w:t>
      </w:r>
      <w:r w:rsidR="003650BD">
        <w:rPr>
          <w:rFonts w:ascii="Arial" w:hAnsi="Arial" w:cs="Arial"/>
          <w:lang w:eastAsia="en-GB"/>
        </w:rPr>
        <w:t>introduction of long-term mean ephemeris (SGP4) to share with UE for enabling UE-based prediction of discontinuous coverage</w:t>
      </w:r>
      <w:r w:rsidR="00103659">
        <w:rPr>
          <w:rFonts w:ascii="Arial" w:hAnsi="Arial" w:cs="Arial"/>
          <w:lang w:eastAsia="en-GB"/>
        </w:rPr>
        <w:t>.</w:t>
      </w: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18C48729" w14:textId="3A93A291" w:rsidR="005372B4" w:rsidRDefault="0082359D" w:rsidP="00975640">
      <w:pPr>
        <w:jc w:val="both"/>
        <w:rPr>
          <w:rFonts w:ascii="Arial" w:hAnsi="Arial" w:cs="Arial"/>
        </w:rPr>
      </w:pPr>
      <w:r>
        <w:rPr>
          <w:rFonts w:ascii="Arial" w:hAnsi="Arial" w:cs="Arial"/>
        </w:rPr>
        <w:t>Issues regarding Discontinuous Coverage has been discussed in Rel-17 IoT-NTN Work item and a new SIB (SIB32) is introduced to share the potential long-term ephemeris (SGP4 parameters as per NORAD Space Track standards) with the UE.</w:t>
      </w:r>
      <w:r w:rsidR="00B20381">
        <w:rPr>
          <w:rFonts w:ascii="Arial" w:hAnsi="Arial" w:cs="Arial"/>
        </w:rPr>
        <w:t xml:space="preserve"> It also includes Epoch parameter as time offset between beginning of the current week and the actual SGP4 epoch. Besides these SGP4 parameters, satellite id, elevation angles, reference points and coverage radius are also included.</w:t>
      </w:r>
      <w:r w:rsidR="00BB2EAB">
        <w:rPr>
          <w:rFonts w:ascii="Arial" w:hAnsi="Arial" w:cs="Arial"/>
        </w:rPr>
        <w:t xml:space="preserve"> </w:t>
      </w:r>
      <w:r w:rsidR="00A64AB1">
        <w:rPr>
          <w:rFonts w:ascii="Arial" w:hAnsi="Arial" w:cs="Arial"/>
        </w:rPr>
        <w:t xml:space="preserve">Such long-term ephemeris is expected to remain valid for duration of a few weeks. </w:t>
      </w:r>
    </w:p>
    <w:p w14:paraId="0862B4A1" w14:textId="44C70435" w:rsidR="00975640" w:rsidRPr="009D3A14" w:rsidRDefault="00975640" w:rsidP="00975640">
      <w:pPr>
        <w:jc w:val="both"/>
        <w:rPr>
          <w:rFonts w:ascii="Arial" w:hAnsi="Arial" w:cs="Arial"/>
          <w:b/>
          <w:bCs/>
        </w:rPr>
      </w:pPr>
      <w:r w:rsidRPr="009D3A14">
        <w:rPr>
          <w:rFonts w:ascii="Arial" w:hAnsi="Arial" w:cs="Arial"/>
          <w:b/>
          <w:bCs/>
        </w:rPr>
        <w:t xml:space="preserve">Observation 1: </w:t>
      </w:r>
      <w:r w:rsidR="00A64AB1">
        <w:rPr>
          <w:rFonts w:ascii="Arial" w:hAnsi="Arial" w:cs="Arial"/>
          <w:b/>
          <w:bCs/>
        </w:rPr>
        <w:t xml:space="preserve">SGP4 based </w:t>
      </w:r>
      <w:r w:rsidR="00BA404C">
        <w:rPr>
          <w:rFonts w:ascii="Arial" w:hAnsi="Arial" w:cs="Arial"/>
          <w:b/>
          <w:bCs/>
        </w:rPr>
        <w:t>mean (</w:t>
      </w:r>
      <w:r w:rsidR="00A64AB1">
        <w:rPr>
          <w:rFonts w:ascii="Arial" w:hAnsi="Arial" w:cs="Arial"/>
          <w:b/>
          <w:bCs/>
        </w:rPr>
        <w:t>long term</w:t>
      </w:r>
      <w:r w:rsidR="00BA404C">
        <w:rPr>
          <w:rFonts w:ascii="Arial" w:hAnsi="Arial" w:cs="Arial"/>
          <w:b/>
          <w:bCs/>
        </w:rPr>
        <w:t>)</w:t>
      </w:r>
      <w:r w:rsidR="00A64AB1">
        <w:rPr>
          <w:rFonts w:ascii="Arial" w:hAnsi="Arial" w:cs="Arial"/>
          <w:b/>
          <w:bCs/>
        </w:rPr>
        <w:t xml:space="preserve"> ephemeris mean, introduced in Rel-17 IoT-NTN, has validity for a few weeks</w:t>
      </w:r>
      <w:r w:rsidR="00BE4750">
        <w:rPr>
          <w:rFonts w:ascii="Arial" w:hAnsi="Arial" w:cs="Arial"/>
          <w:b/>
          <w:bCs/>
        </w:rPr>
        <w:t xml:space="preserve">. </w:t>
      </w:r>
    </w:p>
    <w:p w14:paraId="164C527F" w14:textId="1C625519" w:rsidR="00EC09B5" w:rsidRDefault="00BA404C" w:rsidP="00D258EC">
      <w:pPr>
        <w:jc w:val="both"/>
        <w:rPr>
          <w:rFonts w:ascii="Arial" w:hAnsi="Arial" w:cs="Arial"/>
        </w:rPr>
      </w:pPr>
      <w:r>
        <w:rPr>
          <w:rFonts w:ascii="Arial" w:hAnsi="Arial" w:cs="Arial"/>
        </w:rPr>
        <w:t>UE can use these</w:t>
      </w:r>
      <w:r w:rsidRPr="00BA404C">
        <w:rPr>
          <w:rFonts w:ascii="Arial" w:hAnsi="Arial" w:cs="Arial"/>
        </w:rPr>
        <w:t xml:space="preserve"> </w:t>
      </w:r>
      <w:r w:rsidRPr="00BA404C">
        <w:rPr>
          <w:rFonts w:ascii="Arial" w:hAnsi="Arial" w:cs="Arial"/>
        </w:rPr>
        <w:t xml:space="preserve">SGP4-based </w:t>
      </w:r>
      <w:r>
        <w:rPr>
          <w:rFonts w:ascii="Arial" w:hAnsi="Arial" w:cs="Arial"/>
        </w:rPr>
        <w:t>mean</w:t>
      </w:r>
      <w:r w:rsidRPr="00BA404C">
        <w:rPr>
          <w:rFonts w:ascii="Arial" w:hAnsi="Arial" w:cs="Arial"/>
        </w:rPr>
        <w:t xml:space="preserve"> ephemeris</w:t>
      </w:r>
      <w:r>
        <w:rPr>
          <w:rFonts w:ascii="Arial" w:hAnsi="Arial" w:cs="Arial"/>
        </w:rPr>
        <w:t xml:space="preserve">, along with </w:t>
      </w:r>
      <w:r w:rsidRPr="00BA404C">
        <w:rPr>
          <w:rFonts w:ascii="Arial" w:hAnsi="Arial" w:cs="Arial"/>
        </w:rPr>
        <w:t>satellite id, elevation angles, reference points and coverage radius</w:t>
      </w:r>
      <w:r>
        <w:rPr>
          <w:rFonts w:ascii="Arial" w:hAnsi="Arial" w:cs="Arial"/>
        </w:rPr>
        <w:t xml:space="preserve"> to predict the coverage discontinuity in both quasi-earth-fixed and earth-moving LEO cells.</w:t>
      </w:r>
      <w:r w:rsidR="008C30F8">
        <w:rPr>
          <w:rFonts w:ascii="Arial" w:hAnsi="Arial" w:cs="Arial"/>
        </w:rPr>
        <w:t xml:space="preserve"> </w:t>
      </w:r>
      <w:r w:rsidR="00D258EC">
        <w:rPr>
          <w:rFonts w:ascii="Arial" w:hAnsi="Arial" w:cs="Arial"/>
        </w:rPr>
        <w:t>UE is not required to perform idle-mode tasks during this coverage discontinuity.</w:t>
      </w:r>
    </w:p>
    <w:p w14:paraId="4DD1CB5A" w14:textId="2381B835" w:rsidR="00A64AB1" w:rsidRDefault="00A64AB1" w:rsidP="00423D89">
      <w:pPr>
        <w:rPr>
          <w:rFonts w:ascii="Arial" w:hAnsi="Arial" w:cs="Arial"/>
        </w:rPr>
      </w:pPr>
      <w:r w:rsidRPr="009D3A14">
        <w:rPr>
          <w:rFonts w:ascii="Arial" w:hAnsi="Arial" w:cs="Arial"/>
          <w:b/>
          <w:bCs/>
        </w:rPr>
        <w:t xml:space="preserve">Observation </w:t>
      </w:r>
      <w:r>
        <w:rPr>
          <w:rFonts w:ascii="Arial" w:hAnsi="Arial" w:cs="Arial"/>
          <w:b/>
          <w:bCs/>
        </w:rPr>
        <w:t>2</w:t>
      </w:r>
      <w:r w:rsidRPr="009D3A14">
        <w:rPr>
          <w:rFonts w:ascii="Arial" w:hAnsi="Arial" w:cs="Arial"/>
          <w:b/>
          <w:bCs/>
        </w:rPr>
        <w:t xml:space="preserve">: </w:t>
      </w:r>
      <w:r>
        <w:rPr>
          <w:rFonts w:ascii="Arial" w:hAnsi="Arial" w:cs="Arial"/>
          <w:b/>
          <w:bCs/>
        </w:rPr>
        <w:t>Based on SGP4-based long-term ephemeris and other parameters (</w:t>
      </w:r>
      <w:r w:rsidRPr="00A64AB1">
        <w:rPr>
          <w:rFonts w:ascii="Arial" w:hAnsi="Arial" w:cs="Arial"/>
          <w:b/>
          <w:bCs/>
        </w:rPr>
        <w:t>satellite id, elevation angles, reference points and coverage radius</w:t>
      </w:r>
      <w:r w:rsidRPr="00A64AB1">
        <w:rPr>
          <w:rFonts w:ascii="Arial" w:hAnsi="Arial" w:cs="Arial"/>
          <w:b/>
          <w:bCs/>
        </w:rPr>
        <w:t>)</w:t>
      </w:r>
      <w:r>
        <w:rPr>
          <w:rFonts w:ascii="Arial" w:hAnsi="Arial" w:cs="Arial"/>
          <w:b/>
          <w:bCs/>
        </w:rPr>
        <w:t xml:space="preserve"> UE can predict the coverage discontinuity.</w:t>
      </w:r>
    </w:p>
    <w:p w14:paraId="50D3FA7F" w14:textId="13BF4E15" w:rsidR="00A64AB1" w:rsidRPr="00423D89" w:rsidRDefault="00433ED1" w:rsidP="00433ED1">
      <w:pPr>
        <w:jc w:val="both"/>
        <w:rPr>
          <w:rFonts w:ascii="Arial" w:hAnsi="Arial" w:cs="Arial"/>
        </w:rPr>
      </w:pPr>
      <w:r w:rsidRPr="00433ED1">
        <w:rPr>
          <w:rFonts w:ascii="Arial" w:hAnsi="Arial" w:cs="Arial"/>
        </w:rPr>
        <w:t xml:space="preserve">Discontinuous coverage should </w:t>
      </w:r>
      <w:r>
        <w:rPr>
          <w:rFonts w:ascii="Arial" w:hAnsi="Arial" w:cs="Arial"/>
        </w:rPr>
        <w:t xml:space="preserve">also </w:t>
      </w:r>
      <w:r w:rsidRPr="00433ED1">
        <w:rPr>
          <w:rFonts w:ascii="Arial" w:hAnsi="Arial" w:cs="Arial"/>
        </w:rPr>
        <w:t xml:space="preserve">take into account UE’s power consumption and failures / recovery actions. </w:t>
      </w:r>
      <w:r>
        <w:rPr>
          <w:rFonts w:ascii="Arial" w:hAnsi="Arial" w:cs="Arial"/>
        </w:rPr>
        <w:t xml:space="preserve">These includes some minor </w:t>
      </w:r>
      <w:r w:rsidRPr="00433ED1">
        <w:rPr>
          <w:rFonts w:ascii="Arial" w:hAnsi="Arial" w:cs="Arial"/>
        </w:rPr>
        <w:t xml:space="preserve">enhancements to the existing power saving mechanisms e.g., DRX, </w:t>
      </w:r>
      <w:proofErr w:type="spellStart"/>
      <w:r w:rsidRPr="00433ED1">
        <w:rPr>
          <w:rFonts w:ascii="Arial" w:hAnsi="Arial" w:cs="Arial"/>
        </w:rPr>
        <w:t>eDRX</w:t>
      </w:r>
      <w:proofErr w:type="spellEnd"/>
      <w:r>
        <w:rPr>
          <w:rFonts w:ascii="Arial" w:hAnsi="Arial" w:cs="Arial"/>
        </w:rPr>
        <w:t xml:space="preserve"> and AS-NAS interactions. </w:t>
      </w:r>
      <w:r w:rsidR="004711E1">
        <w:rPr>
          <w:rFonts w:ascii="Arial" w:hAnsi="Arial" w:cs="Arial"/>
        </w:rPr>
        <w:t xml:space="preserve">For </w:t>
      </w:r>
      <w:r w:rsidR="00DA78D7">
        <w:rPr>
          <w:rFonts w:ascii="Arial" w:hAnsi="Arial" w:cs="Arial"/>
        </w:rPr>
        <w:t xml:space="preserve">further enhancements of Discontinuous Coverage </w:t>
      </w:r>
      <w:r w:rsidR="004711E1">
        <w:rPr>
          <w:rFonts w:ascii="Arial" w:hAnsi="Arial" w:cs="Arial"/>
        </w:rPr>
        <w:t>a new Rel-18 Study Item is included in SA2. As mentioned in the WID, p</w:t>
      </w:r>
      <w:r w:rsidR="004711E1" w:rsidRPr="004711E1">
        <w:rPr>
          <w:rFonts w:ascii="Arial" w:hAnsi="Arial" w:cs="Arial"/>
        </w:rPr>
        <w:t>otential enhancements to Rel-17 IoT-NTN discontinuous coverage</w:t>
      </w:r>
      <w:r w:rsidR="004711E1">
        <w:rPr>
          <w:rFonts w:ascii="Arial" w:hAnsi="Arial" w:cs="Arial"/>
        </w:rPr>
        <w:t xml:space="preserve"> should be based on</w:t>
      </w:r>
      <w:r w:rsidR="004711E1" w:rsidRPr="004711E1">
        <w:rPr>
          <w:rFonts w:ascii="Arial" w:hAnsi="Arial" w:cs="Arial"/>
        </w:rPr>
        <w:t xml:space="preserve"> result</w:t>
      </w:r>
      <w:r w:rsidR="004711E1">
        <w:rPr>
          <w:rFonts w:ascii="Arial" w:hAnsi="Arial" w:cs="Arial"/>
        </w:rPr>
        <w:t>s</w:t>
      </w:r>
      <w:r w:rsidR="004711E1" w:rsidRPr="004711E1">
        <w:rPr>
          <w:rFonts w:ascii="Arial" w:hAnsi="Arial" w:cs="Arial"/>
        </w:rPr>
        <w:t xml:space="preserve"> from SA2 study</w:t>
      </w:r>
      <w:r w:rsidR="004711E1">
        <w:rPr>
          <w:rFonts w:ascii="Arial" w:hAnsi="Arial" w:cs="Arial"/>
        </w:rPr>
        <w:t xml:space="preserve">. </w:t>
      </w:r>
      <w:r w:rsidR="009F3905">
        <w:rPr>
          <w:rFonts w:ascii="Arial" w:hAnsi="Arial" w:cs="Arial"/>
        </w:rPr>
        <w:t xml:space="preserve">Hence, RAN2 should </w:t>
      </w:r>
      <w:r w:rsidR="009F3905" w:rsidRPr="009F3905">
        <w:rPr>
          <w:rFonts w:ascii="Arial" w:hAnsi="Arial" w:cs="Arial"/>
        </w:rPr>
        <w:t>wait for the results of SA2 study before discussing potential enhancements to discontinuous coverage in IoT-NTN</w:t>
      </w:r>
      <w:r w:rsidR="009F3905">
        <w:rPr>
          <w:rFonts w:ascii="Arial" w:hAnsi="Arial" w:cs="Arial"/>
        </w:rPr>
        <w:t>.</w:t>
      </w:r>
    </w:p>
    <w:p w14:paraId="684BCF34" w14:textId="1A8F3519" w:rsidR="00BE4750" w:rsidRDefault="00423D89" w:rsidP="0008494B">
      <w:pPr>
        <w:rPr>
          <w:rFonts w:ascii="Arial" w:hAnsi="Arial" w:cs="Arial"/>
          <w:b/>
          <w:bCs/>
        </w:rPr>
      </w:pPr>
      <w:r w:rsidRPr="00423D89">
        <w:rPr>
          <w:rFonts w:ascii="Arial" w:hAnsi="Arial" w:cs="Arial"/>
          <w:b/>
          <w:bCs/>
        </w:rPr>
        <w:t xml:space="preserve">Proposal </w:t>
      </w:r>
      <w:r w:rsidR="00BE4750">
        <w:rPr>
          <w:rFonts w:ascii="Arial" w:hAnsi="Arial" w:cs="Arial"/>
          <w:b/>
          <w:bCs/>
        </w:rPr>
        <w:t xml:space="preserve">1: RAN2 will </w:t>
      </w:r>
      <w:r w:rsidR="00BC55BB">
        <w:rPr>
          <w:rFonts w:ascii="Arial" w:hAnsi="Arial" w:cs="Arial"/>
          <w:b/>
          <w:bCs/>
        </w:rPr>
        <w:t>wait for the results of SA2 study before discussing p</w:t>
      </w:r>
      <w:r w:rsidR="00BC55BB" w:rsidRPr="00BC55BB">
        <w:rPr>
          <w:rFonts w:ascii="Arial" w:hAnsi="Arial" w:cs="Arial"/>
          <w:b/>
          <w:bCs/>
        </w:rPr>
        <w:t>otential enhancements to discontinuous coverage</w:t>
      </w:r>
      <w:r w:rsidR="00BC55BB">
        <w:rPr>
          <w:rFonts w:ascii="Arial" w:hAnsi="Arial" w:cs="Arial"/>
          <w:b/>
          <w:bCs/>
        </w:rPr>
        <w:t xml:space="preserve"> in IoT-NTN.</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483F231E" w14:textId="2FD051C0" w:rsidR="000F4D36" w:rsidRDefault="009F3905" w:rsidP="000F4D36">
      <w:pPr>
        <w:jc w:val="both"/>
        <w:rPr>
          <w:rFonts w:ascii="Arial" w:hAnsi="Arial" w:cs="Arial"/>
          <w:b/>
          <w:bCs/>
        </w:rPr>
      </w:pPr>
      <w:r w:rsidRPr="009D3A14">
        <w:rPr>
          <w:rFonts w:ascii="Arial" w:hAnsi="Arial" w:cs="Arial"/>
          <w:b/>
          <w:bCs/>
        </w:rPr>
        <w:t xml:space="preserve">Observation 1: </w:t>
      </w:r>
      <w:r>
        <w:rPr>
          <w:rFonts w:ascii="Arial" w:hAnsi="Arial" w:cs="Arial"/>
          <w:b/>
          <w:bCs/>
        </w:rPr>
        <w:t>SGP4 based mean (long term) ephemeris mean, introduced in Rel-17 IoT-NTN, has validity for a few weeks</w:t>
      </w:r>
      <w:r w:rsidR="000F4D36">
        <w:rPr>
          <w:rFonts w:ascii="Arial" w:hAnsi="Arial" w:cs="Arial"/>
          <w:b/>
          <w:bCs/>
        </w:rPr>
        <w:t xml:space="preserve">. </w:t>
      </w:r>
    </w:p>
    <w:p w14:paraId="65DD108F" w14:textId="1F8EAD47" w:rsidR="009F3905" w:rsidRPr="009D3A14" w:rsidRDefault="009F3905" w:rsidP="000F4D36">
      <w:pPr>
        <w:jc w:val="both"/>
        <w:rPr>
          <w:rFonts w:ascii="Arial" w:hAnsi="Arial" w:cs="Arial"/>
          <w:b/>
          <w:bCs/>
        </w:rPr>
      </w:pPr>
      <w:r w:rsidRPr="009D3A14">
        <w:rPr>
          <w:rFonts w:ascii="Arial" w:hAnsi="Arial" w:cs="Arial"/>
          <w:b/>
          <w:bCs/>
        </w:rPr>
        <w:t xml:space="preserve">Observation </w:t>
      </w:r>
      <w:r>
        <w:rPr>
          <w:rFonts w:ascii="Arial" w:hAnsi="Arial" w:cs="Arial"/>
          <w:b/>
          <w:bCs/>
        </w:rPr>
        <w:t>2</w:t>
      </w:r>
      <w:r w:rsidRPr="009D3A14">
        <w:rPr>
          <w:rFonts w:ascii="Arial" w:hAnsi="Arial" w:cs="Arial"/>
          <w:b/>
          <w:bCs/>
        </w:rPr>
        <w:t xml:space="preserve">: </w:t>
      </w:r>
      <w:r>
        <w:rPr>
          <w:rFonts w:ascii="Arial" w:hAnsi="Arial" w:cs="Arial"/>
          <w:b/>
          <w:bCs/>
        </w:rPr>
        <w:t>Based on SGP4-based long-term ephemeris and other parameters (</w:t>
      </w:r>
      <w:r w:rsidRPr="00A64AB1">
        <w:rPr>
          <w:rFonts w:ascii="Arial" w:hAnsi="Arial" w:cs="Arial"/>
          <w:b/>
          <w:bCs/>
        </w:rPr>
        <w:t>satellite id, elevation angles, reference points and coverage radius)</w:t>
      </w:r>
      <w:r>
        <w:rPr>
          <w:rFonts w:ascii="Arial" w:hAnsi="Arial" w:cs="Arial"/>
          <w:b/>
          <w:bCs/>
        </w:rPr>
        <w:t xml:space="preserve"> UE can predict the coverage discontinuity</w:t>
      </w:r>
      <w:r>
        <w:rPr>
          <w:rFonts w:ascii="Arial" w:hAnsi="Arial" w:cs="Arial"/>
          <w:b/>
          <w:bCs/>
        </w:rPr>
        <w:t>.</w:t>
      </w:r>
    </w:p>
    <w:p w14:paraId="763A7F7A" w14:textId="4636307D" w:rsidR="000F4D36" w:rsidRDefault="000F4D36" w:rsidP="000F4D36">
      <w:pPr>
        <w:rPr>
          <w:rFonts w:ascii="Arial" w:hAnsi="Arial" w:cs="Arial"/>
          <w:lang w:val="en-US"/>
        </w:rPr>
      </w:pPr>
      <w:r w:rsidRPr="00423D89">
        <w:rPr>
          <w:rFonts w:ascii="Arial" w:hAnsi="Arial" w:cs="Arial"/>
          <w:b/>
          <w:bCs/>
        </w:rPr>
        <w:t xml:space="preserve">Proposal </w:t>
      </w:r>
      <w:r>
        <w:rPr>
          <w:rFonts w:ascii="Arial" w:hAnsi="Arial" w:cs="Arial"/>
          <w:b/>
          <w:bCs/>
        </w:rPr>
        <w:t xml:space="preserve">1: </w:t>
      </w:r>
      <w:r w:rsidR="009F3905">
        <w:rPr>
          <w:rFonts w:ascii="Arial" w:hAnsi="Arial" w:cs="Arial"/>
          <w:b/>
          <w:bCs/>
        </w:rPr>
        <w:t>RAN2 will wait for the results of SA2 study before discussing p</w:t>
      </w:r>
      <w:r w:rsidR="009F3905" w:rsidRPr="00BC55BB">
        <w:rPr>
          <w:rFonts w:ascii="Arial" w:hAnsi="Arial" w:cs="Arial"/>
          <w:b/>
          <w:bCs/>
        </w:rPr>
        <w:t>otential enhancements to discontinuous coverage</w:t>
      </w:r>
      <w:r w:rsidR="009F3905">
        <w:rPr>
          <w:rFonts w:ascii="Arial" w:hAnsi="Arial" w:cs="Arial"/>
          <w:b/>
          <w:bCs/>
        </w:rPr>
        <w:t xml:space="preserve"> in IoT-NTN</w:t>
      </w:r>
      <w:r>
        <w:rPr>
          <w:rFonts w:ascii="Arial" w:hAnsi="Arial" w:cs="Arial"/>
          <w:b/>
          <w:bCs/>
        </w:rPr>
        <w:t>.</w:t>
      </w: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26938C29" w14:textId="616F9614" w:rsidR="008B5FE1" w:rsidRPr="00F125CD" w:rsidRDefault="008B5FE1" w:rsidP="008B5FE1">
      <w:pPr>
        <w:pStyle w:val="ListParagraph"/>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r w:rsidRPr="00D857B5">
        <w:rPr>
          <w:rFonts w:ascii="Arial" w:hAnsi="Arial" w:cs="Arial"/>
          <w:sz w:val="20"/>
          <w:szCs w:val="20"/>
          <w:lang w:val="en-US"/>
        </w:rPr>
        <w:t>RP-22</w:t>
      </w:r>
      <w:r w:rsidR="00450E2E">
        <w:rPr>
          <w:rFonts w:ascii="Arial" w:hAnsi="Arial" w:cs="Arial"/>
          <w:sz w:val="20"/>
          <w:szCs w:val="20"/>
          <w:lang w:val="en-US"/>
        </w:rPr>
        <w:t>1554</w:t>
      </w:r>
      <w:r w:rsidRPr="00F125CD">
        <w:rPr>
          <w:rFonts w:ascii="Arial" w:hAnsi="Arial" w:cs="Arial"/>
          <w:sz w:val="20"/>
          <w:szCs w:val="20"/>
          <w:lang w:val="en-US"/>
        </w:rPr>
        <w:t xml:space="preserve">, </w:t>
      </w:r>
      <w:r w:rsidR="00450E2E">
        <w:rPr>
          <w:rFonts w:ascii="Arial" w:hAnsi="Arial" w:cs="Arial"/>
          <w:sz w:val="20"/>
          <w:szCs w:val="20"/>
          <w:lang w:val="en-US"/>
        </w:rPr>
        <w:t>MediaTek</w:t>
      </w:r>
      <w:r w:rsidRPr="00F125CD">
        <w:rPr>
          <w:rFonts w:ascii="Arial" w:hAnsi="Arial" w:cs="Arial"/>
          <w:sz w:val="20"/>
          <w:szCs w:val="20"/>
          <w:lang w:val="en-US"/>
        </w:rPr>
        <w:t>,</w:t>
      </w:r>
      <w:r w:rsidR="00450E2E">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w:t>
      </w:r>
      <w:r w:rsidR="00450E2E">
        <w:rPr>
          <w:rFonts w:ascii="Arial" w:hAnsi="Arial" w:cs="Arial"/>
          <w:sz w:val="20"/>
          <w:szCs w:val="20"/>
          <w:lang w:val="en-US"/>
        </w:rPr>
        <w:t>6</w:t>
      </w:r>
      <w:r>
        <w:rPr>
          <w:rFonts w:ascii="Arial" w:hAnsi="Arial" w:cs="Arial"/>
          <w:sz w:val="20"/>
          <w:szCs w:val="20"/>
          <w:lang w:val="en-US"/>
        </w:rPr>
        <w:t>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2"/>
    </w:p>
    <w:bookmarkEnd w:id="3"/>
    <w:bookmarkEnd w:id="4"/>
    <w:bookmarkEnd w:id="5"/>
    <w:p w14:paraId="4D393DDF" w14:textId="037E22E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74805" w14:textId="77777777" w:rsidR="00E60DC4" w:rsidRDefault="00E60DC4">
      <w:r>
        <w:separator/>
      </w:r>
    </w:p>
  </w:endnote>
  <w:endnote w:type="continuationSeparator" w:id="0">
    <w:p w14:paraId="62DC5C04" w14:textId="77777777" w:rsidR="00E60DC4" w:rsidRDefault="00E6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473E2" w14:textId="77777777" w:rsidR="00E60DC4" w:rsidRDefault="00E60DC4">
      <w:r>
        <w:separator/>
      </w:r>
    </w:p>
  </w:footnote>
  <w:footnote w:type="continuationSeparator" w:id="0">
    <w:p w14:paraId="0A3F993C" w14:textId="77777777" w:rsidR="00E60DC4" w:rsidRDefault="00E60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0"/>
  </w:num>
  <w:num w:numId="3">
    <w:abstractNumId w:val="10"/>
  </w:num>
  <w:num w:numId="4">
    <w:abstractNumId w:val="12"/>
  </w:num>
  <w:num w:numId="5">
    <w:abstractNumId w:val="2"/>
  </w:num>
  <w:num w:numId="6">
    <w:abstractNumId w:val="1"/>
  </w:num>
  <w:num w:numId="7">
    <w:abstractNumId w:val="8"/>
  </w:num>
  <w:num w:numId="8">
    <w:abstractNumId w:val="17"/>
  </w:num>
  <w:num w:numId="9">
    <w:abstractNumId w:val="4"/>
  </w:num>
  <w:num w:numId="10">
    <w:abstractNumId w:val="19"/>
  </w:num>
  <w:num w:numId="11">
    <w:abstractNumId w:val="20"/>
  </w:num>
  <w:num w:numId="12">
    <w:abstractNumId w:val="7"/>
  </w:num>
  <w:num w:numId="13">
    <w:abstractNumId w:val="16"/>
  </w:num>
  <w:num w:numId="14">
    <w:abstractNumId w:val="13"/>
  </w:num>
  <w:num w:numId="15">
    <w:abstractNumId w:val="5"/>
  </w:num>
  <w:num w:numId="16">
    <w:abstractNumId w:val="9"/>
  </w:num>
  <w:num w:numId="17">
    <w:abstractNumId w:val="11"/>
  </w:num>
  <w:num w:numId="18">
    <w:abstractNumId w:val="14"/>
  </w:num>
  <w:num w:numId="19">
    <w:abstractNumId w:val="21"/>
  </w:num>
  <w:num w:numId="20">
    <w:abstractNumId w:val="15"/>
  </w:num>
  <w:num w:numId="21">
    <w:abstractNumId w:val="18"/>
  </w:num>
  <w:num w:numId="2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750"/>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D36"/>
    <w:rsid w:val="000F4EC7"/>
    <w:rsid w:val="000F53AA"/>
    <w:rsid w:val="000F6AC4"/>
    <w:rsid w:val="001018A3"/>
    <w:rsid w:val="001027A0"/>
    <w:rsid w:val="00102E7D"/>
    <w:rsid w:val="00103634"/>
    <w:rsid w:val="00103659"/>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5D9"/>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41C9"/>
    <w:rsid w:val="001D52DF"/>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25AE"/>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552B"/>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0BD"/>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2AA"/>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EC2"/>
    <w:rsid w:val="0042609B"/>
    <w:rsid w:val="004262F6"/>
    <w:rsid w:val="00426C33"/>
    <w:rsid w:val="0043364B"/>
    <w:rsid w:val="00433ED1"/>
    <w:rsid w:val="004344C0"/>
    <w:rsid w:val="00434B9D"/>
    <w:rsid w:val="0043576A"/>
    <w:rsid w:val="004406BC"/>
    <w:rsid w:val="004423FA"/>
    <w:rsid w:val="004435E2"/>
    <w:rsid w:val="00444E7E"/>
    <w:rsid w:val="00445FE2"/>
    <w:rsid w:val="00446A61"/>
    <w:rsid w:val="00446BC2"/>
    <w:rsid w:val="00447317"/>
    <w:rsid w:val="00450E2E"/>
    <w:rsid w:val="0045113F"/>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67E45"/>
    <w:rsid w:val="0047090B"/>
    <w:rsid w:val="004711E1"/>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BA3"/>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2B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51B0"/>
    <w:rsid w:val="0059577A"/>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62F2"/>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37150"/>
    <w:rsid w:val="0064084F"/>
    <w:rsid w:val="00642EB1"/>
    <w:rsid w:val="006435BF"/>
    <w:rsid w:val="00644560"/>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3EB9"/>
    <w:rsid w:val="006647D0"/>
    <w:rsid w:val="00666DC3"/>
    <w:rsid w:val="00670B47"/>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28BB"/>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4DB7"/>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AE9"/>
    <w:rsid w:val="00720C8A"/>
    <w:rsid w:val="00721B24"/>
    <w:rsid w:val="00722D00"/>
    <w:rsid w:val="00722D3E"/>
    <w:rsid w:val="00723B33"/>
    <w:rsid w:val="00723B8B"/>
    <w:rsid w:val="00724307"/>
    <w:rsid w:val="007249C3"/>
    <w:rsid w:val="00724E29"/>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0E73"/>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642"/>
    <w:rsid w:val="00820FC9"/>
    <w:rsid w:val="00821246"/>
    <w:rsid w:val="0082192A"/>
    <w:rsid w:val="00822C21"/>
    <w:rsid w:val="0082359D"/>
    <w:rsid w:val="0082387D"/>
    <w:rsid w:val="00824971"/>
    <w:rsid w:val="00824B3E"/>
    <w:rsid w:val="00824C9C"/>
    <w:rsid w:val="00825EFC"/>
    <w:rsid w:val="00827B95"/>
    <w:rsid w:val="00830984"/>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0F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3B1"/>
    <w:rsid w:val="008F187D"/>
    <w:rsid w:val="008F1CBE"/>
    <w:rsid w:val="008F2DE4"/>
    <w:rsid w:val="008F3877"/>
    <w:rsid w:val="008F43C6"/>
    <w:rsid w:val="008F5038"/>
    <w:rsid w:val="008F5322"/>
    <w:rsid w:val="008F5558"/>
    <w:rsid w:val="008F686C"/>
    <w:rsid w:val="008F703F"/>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1BD1"/>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640"/>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87F8D"/>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E4DD7"/>
    <w:rsid w:val="009F09A7"/>
    <w:rsid w:val="009F22C4"/>
    <w:rsid w:val="009F2EA4"/>
    <w:rsid w:val="009F30A9"/>
    <w:rsid w:val="009F3905"/>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4AB1"/>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0381"/>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04C"/>
    <w:rsid w:val="00BA4BF7"/>
    <w:rsid w:val="00BA716D"/>
    <w:rsid w:val="00BB1A1E"/>
    <w:rsid w:val="00BB20CB"/>
    <w:rsid w:val="00BB2958"/>
    <w:rsid w:val="00BB2EAB"/>
    <w:rsid w:val="00BB2FC2"/>
    <w:rsid w:val="00BB317F"/>
    <w:rsid w:val="00BB3288"/>
    <w:rsid w:val="00BB4EA9"/>
    <w:rsid w:val="00BB5BAB"/>
    <w:rsid w:val="00BB5DFC"/>
    <w:rsid w:val="00BB64E5"/>
    <w:rsid w:val="00BB67A9"/>
    <w:rsid w:val="00BB6C83"/>
    <w:rsid w:val="00BB7663"/>
    <w:rsid w:val="00BC1AC4"/>
    <w:rsid w:val="00BC4A2A"/>
    <w:rsid w:val="00BC519C"/>
    <w:rsid w:val="00BC55BB"/>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4750"/>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C1C"/>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07C"/>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8EC"/>
    <w:rsid w:val="00D2593B"/>
    <w:rsid w:val="00D25DEF"/>
    <w:rsid w:val="00D2652A"/>
    <w:rsid w:val="00D26A64"/>
    <w:rsid w:val="00D27486"/>
    <w:rsid w:val="00D30410"/>
    <w:rsid w:val="00D30920"/>
    <w:rsid w:val="00D32DF3"/>
    <w:rsid w:val="00D333D8"/>
    <w:rsid w:val="00D334E5"/>
    <w:rsid w:val="00D35F32"/>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7B8"/>
    <w:rsid w:val="00D95894"/>
    <w:rsid w:val="00D96BF4"/>
    <w:rsid w:val="00D9722C"/>
    <w:rsid w:val="00D978D3"/>
    <w:rsid w:val="00D97C03"/>
    <w:rsid w:val="00D97EAE"/>
    <w:rsid w:val="00DA0F41"/>
    <w:rsid w:val="00DA17AE"/>
    <w:rsid w:val="00DA2483"/>
    <w:rsid w:val="00DA3044"/>
    <w:rsid w:val="00DA3561"/>
    <w:rsid w:val="00DA78D7"/>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E7C36"/>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564A"/>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6FFB"/>
    <w:rsid w:val="00E57343"/>
    <w:rsid w:val="00E6005E"/>
    <w:rsid w:val="00E60837"/>
    <w:rsid w:val="00E60C18"/>
    <w:rsid w:val="00E60DC4"/>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09B5"/>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17"/>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899"/>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paragraph" w:customStyle="1" w:styleId="PatBodyText">
    <w:name w:val="PatBodyText"/>
    <w:aliases w:val="pb"/>
    <w:basedOn w:val="Heading1"/>
    <w:autoRedefine/>
    <w:rsid w:val="004A1BA3"/>
    <w:pPr>
      <w:keepNext w:val="0"/>
      <w:keepLines w:val="0"/>
      <w:widowControl w:val="0"/>
      <w:pBdr>
        <w:top w:val="none" w:sz="0" w:space="0" w:color="auto"/>
      </w:pBdr>
      <w:topLinePunct/>
      <w:adjustRightInd w:val="0"/>
      <w:snapToGrid w:val="0"/>
      <w:spacing w:before="0" w:after="0" w:line="360" w:lineRule="auto"/>
      <w:ind w:left="400" w:firstLine="0"/>
      <w:jc w:val="both"/>
      <w:outlineLvl w:val="9"/>
    </w:pPr>
    <w:rPr>
      <w:rFonts w:ascii="Times New Roman" w:eastAsia="SimSun" w:hAnsi="Times New Roman"/>
      <w:snapToGrid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3195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2022-08-09T20:58:00Z</dcterms:created>
  <dcterms:modified xsi:type="dcterms:W3CDTF">2022-08-09T22:08:00Z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